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667" w:rsidRDefault="00263667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B617FF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="007E42D0">
        <w:rPr>
          <w:rFonts w:ascii="Times New Roman" w:hAnsi="Times New Roman"/>
          <w:sz w:val="28"/>
          <w:szCs w:val="28"/>
        </w:rPr>
        <w:t xml:space="preserve"> </w:t>
      </w:r>
      <w:r w:rsidR="00C9536B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е</w:t>
      </w:r>
    </w:p>
    <w:p w:rsidR="00AD3B9F" w:rsidRPr="009F7276" w:rsidRDefault="00AD3B9F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="00EE26C7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C465C2">
        <w:rPr>
          <w:rFonts w:ascii="Times New Roman" w:hAnsi="Times New Roman"/>
          <w:bCs/>
          <w:sz w:val="28"/>
          <w:szCs w:val="28"/>
        </w:rPr>
        <w:t>систем наружного освещения</w:t>
      </w:r>
      <w:r w:rsidRPr="00AD3B9F">
        <w:rPr>
          <w:rFonts w:ascii="Times New Roman" w:hAnsi="Times New Roman"/>
          <w:bCs/>
          <w:sz w:val="28"/>
          <w:szCs w:val="28"/>
        </w:rPr>
        <w:t xml:space="preserve"> </w:t>
      </w:r>
      <w:r w:rsidR="00EE26C7">
        <w:rPr>
          <w:rFonts w:ascii="Times New Roman" w:hAnsi="Times New Roman"/>
          <w:bCs/>
          <w:sz w:val="28"/>
          <w:szCs w:val="28"/>
        </w:rPr>
        <w:t>Курчанск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EE26C7">
        <w:rPr>
          <w:rFonts w:ascii="Times New Roman" w:hAnsi="Times New Roman"/>
          <w:bCs/>
          <w:sz w:val="28"/>
          <w:szCs w:val="28"/>
        </w:rPr>
        <w:t>я</w:t>
      </w:r>
      <w:r w:rsidRPr="00AD3B9F">
        <w:rPr>
          <w:rFonts w:ascii="Times New Roman" w:hAnsi="Times New Roman"/>
          <w:bCs/>
          <w:sz w:val="28"/>
          <w:szCs w:val="28"/>
        </w:rPr>
        <w:t xml:space="preserve">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</w:t>
      </w:r>
      <w:r w:rsidR="00C465C2">
        <w:rPr>
          <w:rFonts w:ascii="Times New Roman" w:hAnsi="Times New Roman"/>
          <w:sz w:val="28"/>
          <w:szCs w:val="28"/>
        </w:rPr>
        <w:t>на 201</w:t>
      </w:r>
      <w:r w:rsidR="00C9536B">
        <w:rPr>
          <w:rFonts w:ascii="Times New Roman" w:hAnsi="Times New Roman"/>
          <w:sz w:val="28"/>
          <w:szCs w:val="28"/>
        </w:rPr>
        <w:t>6-2018</w:t>
      </w:r>
      <w:r w:rsidR="00C465C2">
        <w:rPr>
          <w:rFonts w:ascii="Times New Roman" w:hAnsi="Times New Roman"/>
          <w:sz w:val="28"/>
          <w:szCs w:val="28"/>
        </w:rPr>
        <w:t xml:space="preserve"> год</w:t>
      </w:r>
      <w:r w:rsidR="00C9536B">
        <w:rPr>
          <w:rFonts w:ascii="Times New Roman" w:hAnsi="Times New Roman"/>
          <w:sz w:val="28"/>
          <w:szCs w:val="28"/>
        </w:rPr>
        <w:t>ы</w:t>
      </w:r>
      <w:r w:rsidR="00C465C2">
        <w:rPr>
          <w:rFonts w:ascii="Times New Roman" w:hAnsi="Times New Roman"/>
          <w:sz w:val="28"/>
          <w:szCs w:val="28"/>
        </w:rPr>
        <w:t xml:space="preserve"> </w:t>
      </w: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3667" w:rsidRDefault="00EE26C7" w:rsidP="00EE26C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C9536B">
        <w:rPr>
          <w:rFonts w:ascii="Times New Roman" w:hAnsi="Times New Roman"/>
          <w:b/>
          <w:sz w:val="28"/>
          <w:szCs w:val="28"/>
        </w:rPr>
        <w:t>П</w:t>
      </w:r>
      <w:r w:rsidRPr="009F7276">
        <w:rPr>
          <w:rFonts w:ascii="Times New Roman" w:hAnsi="Times New Roman"/>
          <w:b/>
          <w:sz w:val="28"/>
          <w:szCs w:val="28"/>
        </w:rPr>
        <w:t xml:space="preserve">рограммы  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«Развитие </w:t>
      </w:r>
      <w:r w:rsidR="00C465C2">
        <w:rPr>
          <w:rFonts w:ascii="Times New Roman" w:hAnsi="Times New Roman"/>
          <w:b/>
          <w:bCs/>
          <w:sz w:val="28"/>
          <w:szCs w:val="28"/>
        </w:rPr>
        <w:t>систем наружного освещения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1270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Курчанск</w:t>
      </w:r>
      <w:r w:rsidRPr="002D746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 на 201</w:t>
      </w:r>
      <w:r w:rsidR="00C9536B">
        <w:rPr>
          <w:rFonts w:ascii="Times New Roman" w:hAnsi="Times New Roman"/>
          <w:b/>
          <w:bCs/>
          <w:sz w:val="28"/>
          <w:szCs w:val="28"/>
        </w:rPr>
        <w:t xml:space="preserve">6-2018 </w:t>
      </w:r>
      <w:r>
        <w:rPr>
          <w:rFonts w:ascii="Times New Roman" w:hAnsi="Times New Roman"/>
          <w:b/>
          <w:bCs/>
          <w:sz w:val="28"/>
          <w:szCs w:val="28"/>
        </w:rPr>
        <w:t>год</w:t>
      </w:r>
      <w:r w:rsidR="00C9536B">
        <w:rPr>
          <w:rFonts w:ascii="Times New Roman" w:hAnsi="Times New Roman"/>
          <w:b/>
          <w:bCs/>
          <w:sz w:val="28"/>
          <w:szCs w:val="28"/>
        </w:rPr>
        <w:t>ы</w:t>
      </w:r>
      <w:r w:rsidRPr="009F7276">
        <w:rPr>
          <w:rFonts w:ascii="Times New Roman" w:hAnsi="Times New Roman"/>
          <w:b/>
          <w:sz w:val="28"/>
          <w:szCs w:val="28"/>
        </w:rPr>
        <w:t xml:space="preserve"> </w:t>
      </w:r>
    </w:p>
    <w:p w:rsidR="007E42D0" w:rsidRDefault="007E42D0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b"/>
        <w:tblW w:w="14425" w:type="dxa"/>
        <w:tblLook w:val="04A0"/>
      </w:tblPr>
      <w:tblGrid>
        <w:gridCol w:w="2143"/>
        <w:gridCol w:w="1653"/>
        <w:gridCol w:w="1653"/>
        <w:gridCol w:w="1653"/>
        <w:gridCol w:w="1926"/>
        <w:gridCol w:w="3554"/>
        <w:gridCol w:w="1843"/>
      </w:tblGrid>
      <w:tr w:rsidR="008233D8" w:rsidTr="00A614AD">
        <w:tc>
          <w:tcPr>
            <w:tcW w:w="2143" w:type="dxa"/>
            <w:vMerge w:val="restart"/>
          </w:tcPr>
          <w:p w:rsidR="008233D8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9" w:type="dxa"/>
            <w:gridSpan w:val="3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26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4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3E661A">
              <w:rPr>
                <w:rFonts w:ascii="Times New Roman" w:hAnsi="Times New Roman"/>
              </w:rPr>
              <w:t xml:space="preserve">сполнитель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8233D8" w:rsidTr="00A614AD">
        <w:tc>
          <w:tcPr>
            <w:tcW w:w="2143" w:type="dxa"/>
            <w:vMerge/>
          </w:tcPr>
          <w:p w:rsidR="008233D8" w:rsidRPr="00BD5DA6" w:rsidRDefault="008233D8" w:rsidP="00BF64C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2016г.</w:t>
            </w:r>
          </w:p>
        </w:tc>
        <w:tc>
          <w:tcPr>
            <w:tcW w:w="1653" w:type="dxa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2017г.</w:t>
            </w:r>
          </w:p>
        </w:tc>
        <w:tc>
          <w:tcPr>
            <w:tcW w:w="1653" w:type="dxa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2018г.</w:t>
            </w:r>
          </w:p>
        </w:tc>
        <w:tc>
          <w:tcPr>
            <w:tcW w:w="1926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233D8" w:rsidRPr="003E661A" w:rsidRDefault="008233D8" w:rsidP="00BF64CA">
            <w:pPr>
              <w:pStyle w:val="ae"/>
              <w:rPr>
                <w:rFonts w:ascii="Times New Roman" w:hAnsi="Times New Roman"/>
              </w:rPr>
            </w:pPr>
          </w:p>
        </w:tc>
      </w:tr>
      <w:tr w:rsidR="00CD5C84" w:rsidTr="00A614AD">
        <w:tc>
          <w:tcPr>
            <w:tcW w:w="2143" w:type="dxa"/>
            <w:vMerge w:val="restart"/>
          </w:tcPr>
          <w:p w:rsidR="00CD5C84" w:rsidRPr="00BD5DA6" w:rsidRDefault="00CD5C84" w:rsidP="00BF64C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CD5C84" w:rsidRPr="009C0825" w:rsidRDefault="003C0123" w:rsidP="00A614AD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752</w:t>
            </w:r>
            <w:r w:rsidR="009C0825" w:rsidRPr="009C0825">
              <w:rPr>
                <w:rFonts w:ascii="Times New Roman" w:hAnsi="Times New Roman"/>
                <w:spacing w:val="-12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>8</w:t>
            </w:r>
          </w:p>
        </w:tc>
        <w:tc>
          <w:tcPr>
            <w:tcW w:w="1653" w:type="dxa"/>
          </w:tcPr>
          <w:p w:rsidR="00CD5C84" w:rsidRPr="009C0825" w:rsidRDefault="00CD5C84" w:rsidP="0034505E">
            <w:pPr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926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CD5C84" w:rsidRPr="00A614AD" w:rsidRDefault="00CD5C84" w:rsidP="008233D8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>1) бесперебойная работа систем наружного освещения;</w:t>
            </w:r>
          </w:p>
          <w:p w:rsidR="00CD5C84" w:rsidRPr="00A614AD" w:rsidRDefault="00CD5C84" w:rsidP="008233D8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2) приобретение материалов для уличного освещения (лампочки,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</w:p>
          <w:p w:rsidR="00CD5C84" w:rsidRPr="00A614AD" w:rsidRDefault="00CD5C84" w:rsidP="00A614AD">
            <w:pPr>
              <w:rPr>
                <w:spacing w:val="-12"/>
                <w:sz w:val="28"/>
                <w:szCs w:val="28"/>
              </w:rPr>
            </w:pPr>
            <w:r w:rsidRPr="00A614AD">
              <w:rPr>
                <w:rFonts w:ascii="Times New Roman" w:hAnsi="Times New Roman"/>
              </w:rPr>
              <w:t xml:space="preserve">3) технологическое присоединение </w:t>
            </w:r>
            <w:proofErr w:type="spellStart"/>
            <w:r w:rsidRPr="00A614AD">
              <w:rPr>
                <w:rFonts w:ascii="Times New Roman" w:hAnsi="Times New Roman"/>
              </w:rPr>
              <w:t>энергопринимающих</w:t>
            </w:r>
            <w:proofErr w:type="spellEnd"/>
            <w:r w:rsidRPr="00A614AD">
              <w:rPr>
                <w:rFonts w:ascii="Times New Roman" w:hAnsi="Times New Roman"/>
              </w:rPr>
              <w:t xml:space="preserve"> устройств по ул. </w:t>
            </w:r>
            <w:proofErr w:type="gramStart"/>
            <w:r w:rsidRPr="00A614AD">
              <w:rPr>
                <w:rFonts w:ascii="Times New Roman" w:hAnsi="Times New Roman"/>
              </w:rPr>
              <w:t>Южная</w:t>
            </w:r>
            <w:proofErr w:type="gramEnd"/>
            <w:r w:rsidRPr="00A614AD">
              <w:rPr>
                <w:rFonts w:ascii="Times New Roman" w:hAnsi="Times New Roman"/>
              </w:rPr>
              <w:t xml:space="preserve"> и ул. Восточная в ст. </w:t>
            </w:r>
            <w:proofErr w:type="spellStart"/>
            <w:r w:rsidRPr="00A614AD">
              <w:rPr>
                <w:rFonts w:ascii="Times New Roman" w:hAnsi="Times New Roman"/>
              </w:rPr>
              <w:t>Курчанская</w:t>
            </w:r>
            <w:proofErr w:type="spellEnd"/>
            <w:r w:rsidRPr="00A614AD">
              <w:rPr>
                <w:rFonts w:ascii="Times New Roman" w:hAnsi="Times New Roman"/>
              </w:rPr>
              <w:t>;</w:t>
            </w:r>
          </w:p>
        </w:tc>
        <w:tc>
          <w:tcPr>
            <w:tcW w:w="1843" w:type="dxa"/>
            <w:vMerge w:val="restart"/>
          </w:tcPr>
          <w:p w:rsidR="00CD5C84" w:rsidRPr="003E661A" w:rsidRDefault="00CD5C84" w:rsidP="00BF64C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D5C84" w:rsidTr="00A614AD">
        <w:tc>
          <w:tcPr>
            <w:tcW w:w="21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Pr="00A614AD" w:rsidRDefault="005A6A07" w:rsidP="00CD5C84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99</w:t>
            </w:r>
            <w:r w:rsidR="00CD5C84" w:rsidRPr="00A614AD">
              <w:rPr>
                <w:rFonts w:ascii="Times New Roman" w:hAnsi="Times New Roman"/>
                <w:spacing w:val="-12"/>
              </w:rPr>
              <w:t>,</w:t>
            </w:r>
            <w:r>
              <w:rPr>
                <w:rFonts w:ascii="Times New Roman" w:hAnsi="Times New Roman"/>
                <w:spacing w:val="-12"/>
              </w:rPr>
              <w:t>4</w:t>
            </w:r>
          </w:p>
        </w:tc>
        <w:tc>
          <w:tcPr>
            <w:tcW w:w="1653" w:type="dxa"/>
          </w:tcPr>
          <w:p w:rsidR="00CD5C84" w:rsidRPr="008233D8" w:rsidRDefault="00CD5C84" w:rsidP="0034505E">
            <w:pPr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</w:tc>
        <w:tc>
          <w:tcPr>
            <w:tcW w:w="1926" w:type="dxa"/>
          </w:tcPr>
          <w:p w:rsidR="00CD5C84" w:rsidRDefault="00CD5C84" w:rsidP="00BF64CA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>1) бесперебойная работа систем наружного освещения;</w:t>
            </w:r>
          </w:p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2) приобретение материалов для уличного освещения (лампочки,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</w:p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3) технологическое </w:t>
            </w:r>
            <w:r w:rsidRPr="00A614AD">
              <w:rPr>
                <w:rFonts w:ascii="Times New Roman" w:hAnsi="Times New Roman"/>
              </w:rPr>
              <w:lastRenderedPageBreak/>
              <w:t xml:space="preserve">присоединение </w:t>
            </w:r>
            <w:proofErr w:type="spellStart"/>
            <w:r w:rsidRPr="00A614AD">
              <w:rPr>
                <w:rFonts w:ascii="Times New Roman" w:hAnsi="Times New Roman"/>
              </w:rPr>
              <w:t>энергопринимающих</w:t>
            </w:r>
            <w:proofErr w:type="spellEnd"/>
            <w:r w:rsidRPr="00A614AD">
              <w:rPr>
                <w:rFonts w:ascii="Times New Roman" w:hAnsi="Times New Roman"/>
              </w:rPr>
              <w:t xml:space="preserve"> устройств</w:t>
            </w:r>
          </w:p>
        </w:tc>
        <w:tc>
          <w:tcPr>
            <w:tcW w:w="18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</w:tr>
      <w:tr w:rsidR="00CD5C84" w:rsidTr="00A614AD">
        <w:tc>
          <w:tcPr>
            <w:tcW w:w="21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Pr="008233D8" w:rsidRDefault="00CD5C84" w:rsidP="0034505E">
            <w:pPr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513C30" w:rsidP="00CD5C84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180,5</w:t>
            </w:r>
          </w:p>
          <w:p w:rsidR="002C2729" w:rsidRDefault="002C2729" w:rsidP="00CD5C84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2C2729" w:rsidRDefault="002C2729" w:rsidP="00CD5C84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2C2729" w:rsidRPr="002C2729" w:rsidRDefault="002C2729" w:rsidP="00CD5C84">
            <w:pPr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926" w:type="dxa"/>
          </w:tcPr>
          <w:p w:rsidR="00CD5C84" w:rsidRDefault="00CD5C84" w:rsidP="00BF64CA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2C2729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>1)</w:t>
            </w:r>
            <w:r w:rsidR="002C2729">
              <w:rPr>
                <w:rFonts w:ascii="Times New Roman" w:hAnsi="Times New Roman"/>
              </w:rPr>
              <w:t xml:space="preserve">ремонт уличного освещения по ул. </w:t>
            </w:r>
            <w:proofErr w:type="spellStart"/>
            <w:r w:rsidR="002C2729">
              <w:rPr>
                <w:rFonts w:ascii="Times New Roman" w:hAnsi="Times New Roman"/>
              </w:rPr>
              <w:t>Южая</w:t>
            </w:r>
            <w:proofErr w:type="spellEnd"/>
            <w:r w:rsidR="002C2729">
              <w:rPr>
                <w:rFonts w:ascii="Times New Roman" w:hAnsi="Times New Roman"/>
              </w:rPr>
              <w:t xml:space="preserve"> и ул. </w:t>
            </w:r>
            <w:proofErr w:type="gramStart"/>
            <w:r w:rsidR="002C2729">
              <w:rPr>
                <w:rFonts w:ascii="Times New Roman" w:hAnsi="Times New Roman"/>
              </w:rPr>
              <w:t>Канальная</w:t>
            </w:r>
            <w:proofErr w:type="gramEnd"/>
            <w:r w:rsidR="002C2729">
              <w:rPr>
                <w:rFonts w:ascii="Times New Roman" w:hAnsi="Times New Roman"/>
              </w:rPr>
              <w:t xml:space="preserve"> в ст. </w:t>
            </w:r>
            <w:proofErr w:type="spellStart"/>
            <w:r w:rsidR="002C2729">
              <w:rPr>
                <w:rFonts w:ascii="Times New Roman" w:hAnsi="Times New Roman"/>
              </w:rPr>
              <w:t>Курчанская</w:t>
            </w:r>
            <w:proofErr w:type="spellEnd"/>
            <w:r w:rsidR="002C2729">
              <w:rPr>
                <w:rFonts w:ascii="Times New Roman" w:hAnsi="Times New Roman"/>
              </w:rPr>
              <w:t>;</w:t>
            </w:r>
          </w:p>
          <w:p w:rsidR="00CD5C84" w:rsidRPr="00A614AD" w:rsidRDefault="002C2729" w:rsidP="00BF6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CD5C84" w:rsidRPr="00A614AD">
              <w:rPr>
                <w:rFonts w:ascii="Times New Roman" w:hAnsi="Times New Roman"/>
              </w:rPr>
              <w:t>бесперебойная работа систем наружного освещения;</w:t>
            </w:r>
          </w:p>
          <w:p w:rsidR="00CD5C84" w:rsidRPr="00A614AD" w:rsidRDefault="002415D9" w:rsidP="00BF6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D5C84" w:rsidRPr="00A614AD">
              <w:rPr>
                <w:rFonts w:ascii="Times New Roman" w:hAnsi="Times New Roman"/>
              </w:rPr>
              <w:t xml:space="preserve">) приобретение материалов для уличного освещения (лампочки, светильники, </w:t>
            </w:r>
            <w:proofErr w:type="spellStart"/>
            <w:r w:rsidR="00CD5C84" w:rsidRPr="00A614AD">
              <w:rPr>
                <w:rFonts w:ascii="Times New Roman" w:hAnsi="Times New Roman"/>
              </w:rPr>
              <w:t>торсада</w:t>
            </w:r>
            <w:proofErr w:type="spellEnd"/>
            <w:r w:rsidR="00CD5C84"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="00CD5C84" w:rsidRPr="00A614AD">
              <w:rPr>
                <w:rFonts w:ascii="Times New Roman" w:hAnsi="Times New Roman"/>
              </w:rPr>
              <w:t>т</w:t>
            </w:r>
            <w:proofErr w:type="gramStart"/>
            <w:r w:rsidR="00CD5C84"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="00CD5C84" w:rsidRPr="00A614AD">
              <w:rPr>
                <w:rFonts w:ascii="Times New Roman" w:hAnsi="Times New Roman"/>
              </w:rPr>
              <w:t>)</w:t>
            </w:r>
          </w:p>
          <w:p w:rsidR="00CD5C84" w:rsidRDefault="002415D9" w:rsidP="00BF6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D5C84" w:rsidRPr="00A614AD">
              <w:rPr>
                <w:rFonts w:ascii="Times New Roman" w:hAnsi="Times New Roman"/>
              </w:rPr>
              <w:t xml:space="preserve">) технологическое присоединение </w:t>
            </w:r>
            <w:proofErr w:type="spellStart"/>
            <w:r w:rsidR="00CD5C84" w:rsidRPr="00A614AD">
              <w:rPr>
                <w:rFonts w:ascii="Times New Roman" w:hAnsi="Times New Roman"/>
              </w:rPr>
              <w:t>энергопринимающих</w:t>
            </w:r>
            <w:proofErr w:type="spellEnd"/>
            <w:r w:rsidR="00CD5C84" w:rsidRPr="00A614AD">
              <w:rPr>
                <w:rFonts w:ascii="Times New Roman" w:hAnsi="Times New Roman"/>
              </w:rPr>
              <w:t xml:space="preserve"> устройств</w:t>
            </w:r>
            <w:r w:rsidR="0024425C">
              <w:rPr>
                <w:rFonts w:ascii="Times New Roman" w:hAnsi="Times New Roman"/>
              </w:rPr>
              <w:t>;</w:t>
            </w:r>
          </w:p>
          <w:p w:rsidR="0024425C" w:rsidRDefault="002415D9" w:rsidP="00BF6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4425C">
              <w:rPr>
                <w:rFonts w:ascii="Times New Roman" w:hAnsi="Times New Roman"/>
              </w:rPr>
              <w:t>) изготовление сметной документации;</w:t>
            </w:r>
          </w:p>
          <w:p w:rsidR="0024425C" w:rsidRPr="00A614AD" w:rsidRDefault="002415D9" w:rsidP="00BF6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4425C">
              <w:rPr>
                <w:rFonts w:ascii="Times New Roman" w:hAnsi="Times New Roman"/>
              </w:rPr>
              <w:t>) проведение тех. надзора.</w:t>
            </w:r>
          </w:p>
        </w:tc>
        <w:tc>
          <w:tcPr>
            <w:tcW w:w="18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</w:tr>
      <w:tr w:rsidR="00CD5C84" w:rsidTr="00A614AD">
        <w:tc>
          <w:tcPr>
            <w:tcW w:w="21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Pr="00A614AD" w:rsidRDefault="00CD5C84" w:rsidP="00CD5C84">
            <w:pPr>
              <w:jc w:val="center"/>
              <w:rPr>
                <w:rFonts w:ascii="Times New Roman" w:hAnsi="Times New Roman"/>
                <w:spacing w:val="-12"/>
              </w:rPr>
            </w:pPr>
            <w:r w:rsidRPr="00A614AD">
              <w:rPr>
                <w:rFonts w:ascii="Times New Roman" w:hAnsi="Times New Roman"/>
                <w:spacing w:val="-12"/>
              </w:rPr>
              <w:t>150,0</w:t>
            </w: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926" w:type="dxa"/>
          </w:tcPr>
          <w:p w:rsidR="00CD5C84" w:rsidRDefault="00CD5C84" w:rsidP="008233D8">
            <w:r w:rsidRPr="008233D8">
              <w:rPr>
                <w:rFonts w:ascii="Times New Roman" w:hAnsi="Times New Roman"/>
              </w:rPr>
              <w:t>прочие межбюджетные трансферты из бюджета МОТР</w:t>
            </w:r>
          </w:p>
          <w:p w:rsidR="00CD5C84" w:rsidRPr="00BC01E4" w:rsidRDefault="00CD5C84" w:rsidP="008233D8"/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CD5C84" w:rsidRDefault="00CD5C84" w:rsidP="002C2729">
            <w:pPr>
              <w:rPr>
                <w:spacing w:val="-12"/>
                <w:sz w:val="28"/>
                <w:szCs w:val="28"/>
              </w:rPr>
            </w:pPr>
            <w:proofErr w:type="gramStart"/>
            <w:r w:rsidRPr="008233D8">
              <w:rPr>
                <w:rFonts w:ascii="Times New Roman" w:hAnsi="Times New Roman"/>
              </w:rPr>
              <w:t>ремонт уличного освещения в пос. Красный Октябрь по ул. Красная (от КТП КУ-3-156 до ул. Школьная) и по ул. Школьная (ул. Красная до дома по адресу: ул. Центральная, д. 1/1)</w:t>
            </w:r>
            <w:r w:rsidR="004E5BD8">
              <w:rPr>
                <w:rFonts w:ascii="Times New Roman" w:hAnsi="Times New Roman"/>
              </w:rPr>
              <w:t xml:space="preserve"> (0,4 км)</w:t>
            </w:r>
            <w:r w:rsidR="002C2729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8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</w:tr>
      <w:tr w:rsidR="008233D8" w:rsidTr="00A614AD">
        <w:tc>
          <w:tcPr>
            <w:tcW w:w="2143" w:type="dxa"/>
          </w:tcPr>
          <w:p w:rsidR="008233D8" w:rsidRDefault="008233D8" w:rsidP="00BF64CA">
            <w:pPr>
              <w:pStyle w:val="af"/>
              <w:rPr>
                <w:rFonts w:ascii="Times New Roman" w:hAnsi="Times New Roman"/>
                <w:spacing w:val="-12"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53" w:type="dxa"/>
          </w:tcPr>
          <w:p w:rsidR="008233D8" w:rsidRDefault="003C0123" w:rsidP="009C08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902</w:t>
            </w:r>
            <w:r w:rsidR="009C0825">
              <w:rPr>
                <w:rFonts w:ascii="Times New Roman" w:hAnsi="Times New Roman"/>
                <w:b/>
              </w:rPr>
              <w:t>,</w:t>
            </w:r>
            <w:r w:rsidR="00BE166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653" w:type="dxa"/>
          </w:tcPr>
          <w:p w:rsidR="008233D8" w:rsidRPr="00390C00" w:rsidRDefault="005A6A07" w:rsidP="00CD5C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  <w:r w:rsidR="008233D8" w:rsidRPr="00390C0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653" w:type="dxa"/>
          </w:tcPr>
          <w:p w:rsidR="008233D8" w:rsidRPr="00390C00" w:rsidRDefault="00513C30" w:rsidP="00CD5C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</w:t>
            </w:r>
            <w:r w:rsidR="008233D8" w:rsidRPr="00390C0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26" w:type="dxa"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</w:tr>
    </w:tbl>
    <w:p w:rsidR="00C05D73" w:rsidRDefault="00C05D73" w:rsidP="0034505E">
      <w:pPr>
        <w:shd w:val="clear" w:color="auto" w:fill="FFFFFF"/>
        <w:rPr>
          <w:spacing w:val="-12"/>
          <w:sz w:val="28"/>
          <w:szCs w:val="28"/>
        </w:rPr>
      </w:pPr>
    </w:p>
    <w:p w:rsidR="00CD5C84" w:rsidRDefault="00CD5C84" w:rsidP="0034505E">
      <w:pPr>
        <w:shd w:val="clear" w:color="auto" w:fill="FFFFFF"/>
        <w:rPr>
          <w:spacing w:val="-12"/>
          <w:sz w:val="28"/>
          <w:szCs w:val="28"/>
        </w:rPr>
      </w:pPr>
    </w:p>
    <w:bookmarkEnd w:id="0"/>
    <w:p w:rsidR="0085437C" w:rsidRPr="00CF6306" w:rsidRDefault="001A4E9A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4558A6">
        <w:rPr>
          <w:rFonts w:ascii="Times New Roman" w:hAnsi="Times New Roman"/>
          <w:sz w:val="28"/>
          <w:szCs w:val="28"/>
        </w:rPr>
        <w:t xml:space="preserve"> </w:t>
      </w:r>
      <w:r w:rsidR="0085437C" w:rsidRPr="00CF6306">
        <w:rPr>
          <w:rFonts w:ascii="Times New Roman" w:hAnsi="Times New Roman"/>
          <w:sz w:val="28"/>
          <w:szCs w:val="28"/>
        </w:rPr>
        <w:t>главы</w:t>
      </w:r>
    </w:p>
    <w:p w:rsidR="0085437C" w:rsidRPr="00CF6306" w:rsidRDefault="00EE26C7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</w:t>
      </w:r>
      <w:r w:rsidR="0085437C" w:rsidRPr="00CF6306">
        <w:rPr>
          <w:rFonts w:ascii="Times New Roman" w:hAnsi="Times New Roman"/>
          <w:sz w:val="28"/>
          <w:szCs w:val="28"/>
        </w:rPr>
        <w:t>ого сельского поселения</w:t>
      </w:r>
    </w:p>
    <w:p w:rsidR="00E82D20" w:rsidRPr="00CF6306" w:rsidRDefault="00C05D73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="0085437C" w:rsidRPr="00CF63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9C0825">
        <w:rPr>
          <w:rFonts w:ascii="Times New Roman" w:hAnsi="Times New Roman"/>
          <w:sz w:val="28"/>
          <w:szCs w:val="28"/>
        </w:rPr>
        <w:t xml:space="preserve">  </w:t>
      </w:r>
      <w:r w:rsidR="0085437C" w:rsidRPr="00CF6306">
        <w:rPr>
          <w:rFonts w:ascii="Times New Roman" w:hAnsi="Times New Roman"/>
          <w:sz w:val="28"/>
          <w:szCs w:val="28"/>
        </w:rPr>
        <w:t xml:space="preserve">     </w:t>
      </w:r>
      <w:r w:rsidR="00EE26C7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2C2729"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E82D20" w:rsidRPr="00CF6306" w:rsidSect="00C05D73">
      <w:headerReference w:type="default" r:id="rId7"/>
      <w:pgSz w:w="16840" w:h="11907" w:orient="landscape" w:code="9"/>
      <w:pgMar w:top="1258" w:right="1134" w:bottom="567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FAD" w:rsidRDefault="00E12FAD">
      <w:r>
        <w:separator/>
      </w:r>
    </w:p>
  </w:endnote>
  <w:endnote w:type="continuationSeparator" w:id="0">
    <w:p w:rsidR="00E12FAD" w:rsidRDefault="00E12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FAD" w:rsidRDefault="00E12FAD">
      <w:r>
        <w:separator/>
      </w:r>
    </w:p>
  </w:footnote>
  <w:footnote w:type="continuationSeparator" w:id="0">
    <w:p w:rsidR="00E12FAD" w:rsidRDefault="00E12F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51" w:rsidRDefault="004754B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3C30">
      <w:rPr>
        <w:rStyle w:val="a6"/>
        <w:noProof/>
      </w:rPr>
      <w:t>2</w:t>
    </w:r>
    <w:r>
      <w:rPr>
        <w:rStyle w:val="a6"/>
      </w:rPr>
      <w:fldChar w:fldCharType="end"/>
    </w:r>
  </w:p>
  <w:p w:rsidR="00D85A51" w:rsidRDefault="00D85A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C13B0"/>
    <w:rsid w:val="000D464E"/>
    <w:rsid w:val="000D540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37C2"/>
    <w:rsid w:val="001A4E9A"/>
    <w:rsid w:val="001A603E"/>
    <w:rsid w:val="001D217F"/>
    <w:rsid w:val="001E134E"/>
    <w:rsid w:val="001F1589"/>
    <w:rsid w:val="00203A2F"/>
    <w:rsid w:val="00207A02"/>
    <w:rsid w:val="00222F09"/>
    <w:rsid w:val="002404F2"/>
    <w:rsid w:val="002415D9"/>
    <w:rsid w:val="00241AD2"/>
    <w:rsid w:val="0024425C"/>
    <w:rsid w:val="002470D0"/>
    <w:rsid w:val="002569A3"/>
    <w:rsid w:val="002613D3"/>
    <w:rsid w:val="00263667"/>
    <w:rsid w:val="00283682"/>
    <w:rsid w:val="002C2729"/>
    <w:rsid w:val="002C7281"/>
    <w:rsid w:val="002D7464"/>
    <w:rsid w:val="002E26F0"/>
    <w:rsid w:val="0030427E"/>
    <w:rsid w:val="00341333"/>
    <w:rsid w:val="0034505E"/>
    <w:rsid w:val="003464EA"/>
    <w:rsid w:val="00347146"/>
    <w:rsid w:val="00352FDD"/>
    <w:rsid w:val="00365218"/>
    <w:rsid w:val="00371319"/>
    <w:rsid w:val="00372A8C"/>
    <w:rsid w:val="003832F3"/>
    <w:rsid w:val="00387BE9"/>
    <w:rsid w:val="00390C00"/>
    <w:rsid w:val="0039254F"/>
    <w:rsid w:val="003A3BA1"/>
    <w:rsid w:val="003C0123"/>
    <w:rsid w:val="003D076F"/>
    <w:rsid w:val="003D7EFE"/>
    <w:rsid w:val="003E661A"/>
    <w:rsid w:val="00402439"/>
    <w:rsid w:val="00406C88"/>
    <w:rsid w:val="004123BE"/>
    <w:rsid w:val="00434466"/>
    <w:rsid w:val="0043584A"/>
    <w:rsid w:val="00436DF4"/>
    <w:rsid w:val="004432CD"/>
    <w:rsid w:val="00450A6B"/>
    <w:rsid w:val="004510A5"/>
    <w:rsid w:val="004558A6"/>
    <w:rsid w:val="004721A3"/>
    <w:rsid w:val="004725AA"/>
    <w:rsid w:val="004740A7"/>
    <w:rsid w:val="004754BE"/>
    <w:rsid w:val="004B2BE8"/>
    <w:rsid w:val="004B5A93"/>
    <w:rsid w:val="004C1660"/>
    <w:rsid w:val="004E5BD8"/>
    <w:rsid w:val="004F5CD8"/>
    <w:rsid w:val="00511000"/>
    <w:rsid w:val="00513C30"/>
    <w:rsid w:val="00514CFD"/>
    <w:rsid w:val="00525A13"/>
    <w:rsid w:val="00561E7E"/>
    <w:rsid w:val="00562886"/>
    <w:rsid w:val="00566848"/>
    <w:rsid w:val="0056739C"/>
    <w:rsid w:val="00571B3C"/>
    <w:rsid w:val="0057575A"/>
    <w:rsid w:val="00594020"/>
    <w:rsid w:val="005A6A07"/>
    <w:rsid w:val="005D0C39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876BF"/>
    <w:rsid w:val="006B701A"/>
    <w:rsid w:val="006E6ADD"/>
    <w:rsid w:val="007020E4"/>
    <w:rsid w:val="00703C6F"/>
    <w:rsid w:val="007123A6"/>
    <w:rsid w:val="0072508F"/>
    <w:rsid w:val="00735685"/>
    <w:rsid w:val="00791DE4"/>
    <w:rsid w:val="007A6384"/>
    <w:rsid w:val="007B5213"/>
    <w:rsid w:val="007C3B8D"/>
    <w:rsid w:val="007D3D46"/>
    <w:rsid w:val="007E20EE"/>
    <w:rsid w:val="007E2FD5"/>
    <w:rsid w:val="007E42D0"/>
    <w:rsid w:val="007F3398"/>
    <w:rsid w:val="00814CF7"/>
    <w:rsid w:val="00820110"/>
    <w:rsid w:val="008233D8"/>
    <w:rsid w:val="00830C34"/>
    <w:rsid w:val="00850011"/>
    <w:rsid w:val="00850866"/>
    <w:rsid w:val="0085437C"/>
    <w:rsid w:val="008575A6"/>
    <w:rsid w:val="00860322"/>
    <w:rsid w:val="00890006"/>
    <w:rsid w:val="00897D68"/>
    <w:rsid w:val="008A6B27"/>
    <w:rsid w:val="008F1FBE"/>
    <w:rsid w:val="008F3336"/>
    <w:rsid w:val="008F523A"/>
    <w:rsid w:val="00915096"/>
    <w:rsid w:val="009156D9"/>
    <w:rsid w:val="00924534"/>
    <w:rsid w:val="0094354E"/>
    <w:rsid w:val="00944798"/>
    <w:rsid w:val="00955D4F"/>
    <w:rsid w:val="009561E5"/>
    <w:rsid w:val="00957A20"/>
    <w:rsid w:val="009703E2"/>
    <w:rsid w:val="009765FF"/>
    <w:rsid w:val="00987B0F"/>
    <w:rsid w:val="009B092C"/>
    <w:rsid w:val="009C0825"/>
    <w:rsid w:val="009D4504"/>
    <w:rsid w:val="009D6288"/>
    <w:rsid w:val="009D7D7F"/>
    <w:rsid w:val="009E657C"/>
    <w:rsid w:val="00A10969"/>
    <w:rsid w:val="00A1695C"/>
    <w:rsid w:val="00A36A1F"/>
    <w:rsid w:val="00A3740B"/>
    <w:rsid w:val="00A41CA7"/>
    <w:rsid w:val="00A614AD"/>
    <w:rsid w:val="00A63154"/>
    <w:rsid w:val="00A874EA"/>
    <w:rsid w:val="00A87FA6"/>
    <w:rsid w:val="00AA0281"/>
    <w:rsid w:val="00AD3B9F"/>
    <w:rsid w:val="00AF1D20"/>
    <w:rsid w:val="00B06BE3"/>
    <w:rsid w:val="00B11BB8"/>
    <w:rsid w:val="00B54883"/>
    <w:rsid w:val="00B617FF"/>
    <w:rsid w:val="00B62170"/>
    <w:rsid w:val="00B6664D"/>
    <w:rsid w:val="00B73D0F"/>
    <w:rsid w:val="00B76DE8"/>
    <w:rsid w:val="00B8732B"/>
    <w:rsid w:val="00B90B8D"/>
    <w:rsid w:val="00B91C4A"/>
    <w:rsid w:val="00BB7DB1"/>
    <w:rsid w:val="00BC01E4"/>
    <w:rsid w:val="00BC2657"/>
    <w:rsid w:val="00BC42B3"/>
    <w:rsid w:val="00BD22B2"/>
    <w:rsid w:val="00BD5DA6"/>
    <w:rsid w:val="00BE1668"/>
    <w:rsid w:val="00C05D73"/>
    <w:rsid w:val="00C12D44"/>
    <w:rsid w:val="00C30BB7"/>
    <w:rsid w:val="00C313A3"/>
    <w:rsid w:val="00C3175E"/>
    <w:rsid w:val="00C3705A"/>
    <w:rsid w:val="00C465C2"/>
    <w:rsid w:val="00C602BF"/>
    <w:rsid w:val="00C765F0"/>
    <w:rsid w:val="00C8736B"/>
    <w:rsid w:val="00C9536B"/>
    <w:rsid w:val="00CB31B6"/>
    <w:rsid w:val="00CB61F0"/>
    <w:rsid w:val="00CD5C84"/>
    <w:rsid w:val="00CD6EFF"/>
    <w:rsid w:val="00CE4EC2"/>
    <w:rsid w:val="00CF476E"/>
    <w:rsid w:val="00CF6306"/>
    <w:rsid w:val="00CF6FBF"/>
    <w:rsid w:val="00D05114"/>
    <w:rsid w:val="00D20D24"/>
    <w:rsid w:val="00D22CF8"/>
    <w:rsid w:val="00D24F55"/>
    <w:rsid w:val="00D33AD3"/>
    <w:rsid w:val="00D43877"/>
    <w:rsid w:val="00D56070"/>
    <w:rsid w:val="00D6030E"/>
    <w:rsid w:val="00D613C4"/>
    <w:rsid w:val="00D61C1E"/>
    <w:rsid w:val="00D64B68"/>
    <w:rsid w:val="00D745DB"/>
    <w:rsid w:val="00D808E2"/>
    <w:rsid w:val="00D85A51"/>
    <w:rsid w:val="00DA0A23"/>
    <w:rsid w:val="00DC4CC5"/>
    <w:rsid w:val="00DE02F8"/>
    <w:rsid w:val="00E12FAD"/>
    <w:rsid w:val="00E159BA"/>
    <w:rsid w:val="00E26412"/>
    <w:rsid w:val="00E30D0D"/>
    <w:rsid w:val="00E43EB1"/>
    <w:rsid w:val="00E600BB"/>
    <w:rsid w:val="00E76568"/>
    <w:rsid w:val="00E82D20"/>
    <w:rsid w:val="00E86F36"/>
    <w:rsid w:val="00EA7C72"/>
    <w:rsid w:val="00EC3760"/>
    <w:rsid w:val="00ED744E"/>
    <w:rsid w:val="00EE26C7"/>
    <w:rsid w:val="00EE372C"/>
    <w:rsid w:val="00EE3B3E"/>
    <w:rsid w:val="00EF12EF"/>
    <w:rsid w:val="00EF5882"/>
    <w:rsid w:val="00F2247D"/>
    <w:rsid w:val="00F2401C"/>
    <w:rsid w:val="00F374C5"/>
    <w:rsid w:val="00F4148A"/>
    <w:rsid w:val="00F452E7"/>
    <w:rsid w:val="00F86219"/>
    <w:rsid w:val="00F9433F"/>
    <w:rsid w:val="00FA18FF"/>
    <w:rsid w:val="00FA62FA"/>
    <w:rsid w:val="00FA6A7A"/>
    <w:rsid w:val="00FB197C"/>
    <w:rsid w:val="00FD2510"/>
    <w:rsid w:val="00FD53E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240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04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404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2404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2404F2"/>
  </w:style>
  <w:style w:type="paragraph" w:styleId="31">
    <w:name w:val="Body Text Indent 3"/>
    <w:basedOn w:val="a"/>
    <w:link w:val="32"/>
    <w:rsid w:val="002404F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2404F2"/>
    <w:pPr>
      <w:jc w:val="both"/>
    </w:pPr>
  </w:style>
  <w:style w:type="paragraph" w:customStyle="1" w:styleId="BodyTextIndent31">
    <w:name w:val="Body Text Indent 31"/>
    <w:basedOn w:val="a"/>
    <w:rsid w:val="002404F2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b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Dell</cp:lastModifiedBy>
  <cp:revision>23</cp:revision>
  <cp:lastPrinted>2018-11-20T11:24:00Z</cp:lastPrinted>
  <dcterms:created xsi:type="dcterms:W3CDTF">2016-08-19T12:25:00Z</dcterms:created>
  <dcterms:modified xsi:type="dcterms:W3CDTF">2018-11-20T11:24:00Z</dcterms:modified>
</cp:coreProperties>
</file>